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5E5" w:rsidRDefault="002C35E5" w:rsidP="003100D6">
      <w:pPr>
        <w:shd w:val="clear" w:color="auto" w:fill="F5F5F5"/>
        <w:spacing w:before="100" w:beforeAutospacing="1" w:after="100" w:afterAutospacing="1" w:line="240" w:lineRule="auto"/>
        <w:ind w:firstLine="0"/>
        <w:outlineLvl w:val="1"/>
        <w:rPr>
          <w:rFonts w:ascii="Verdana" w:eastAsia="Times New Roman" w:hAnsi="Verdana" w:cs="Times New Roman"/>
          <w:b/>
          <w:bCs/>
          <w:color w:val="333333"/>
          <w:sz w:val="28"/>
          <w:szCs w:val="28"/>
          <w:lang w:eastAsia="it-IT"/>
        </w:rPr>
      </w:pPr>
      <w:r w:rsidRPr="002C35E5">
        <w:rPr>
          <w:rFonts w:ascii="Verdana" w:eastAsia="Times New Roman" w:hAnsi="Verdana" w:cs="Times New Roman"/>
          <w:b/>
          <w:bCs/>
          <w:caps/>
          <w:color w:val="333333"/>
          <w:sz w:val="28"/>
          <w:szCs w:val="28"/>
          <w:lang w:eastAsia="it-IT"/>
        </w:rPr>
        <w:t xml:space="preserve">decreto legislativo n. 28/2015, recante “disposizioni in materia </w:t>
      </w:r>
      <w:proofErr w:type="spellStart"/>
      <w:r w:rsidRPr="002C35E5">
        <w:rPr>
          <w:rFonts w:ascii="Verdana" w:eastAsia="Times New Roman" w:hAnsi="Verdana" w:cs="Times New Roman"/>
          <w:b/>
          <w:bCs/>
          <w:caps/>
          <w:color w:val="333333"/>
          <w:sz w:val="28"/>
          <w:szCs w:val="28"/>
          <w:lang w:eastAsia="it-IT"/>
        </w:rPr>
        <w:t>di</w:t>
      </w:r>
      <w:proofErr w:type="spellEnd"/>
      <w:r w:rsidRPr="002C35E5">
        <w:rPr>
          <w:rFonts w:ascii="Verdana" w:eastAsia="Times New Roman" w:hAnsi="Verdana" w:cs="Times New Roman"/>
          <w:b/>
          <w:bCs/>
          <w:caps/>
          <w:color w:val="333333"/>
          <w:sz w:val="28"/>
          <w:szCs w:val="28"/>
          <w:lang w:eastAsia="it-IT"/>
        </w:rPr>
        <w:t xml:space="preserve"> non punibilità per particolare tenuità del fatto</w:t>
      </w:r>
      <w:r w:rsidRPr="002C35E5">
        <w:rPr>
          <w:rFonts w:ascii="Verdana" w:eastAsia="Times New Roman" w:hAnsi="Verdana" w:cs="Times New Roman"/>
          <w:b/>
          <w:bCs/>
          <w:color w:val="333333"/>
          <w:sz w:val="28"/>
          <w:szCs w:val="28"/>
          <w:lang w:eastAsia="it-IT"/>
        </w:rPr>
        <w:t xml:space="preserve"> </w:t>
      </w:r>
    </w:p>
    <w:p w:rsidR="002C35E5" w:rsidRDefault="002C35E5" w:rsidP="003100D6">
      <w:pPr>
        <w:shd w:val="clear" w:color="auto" w:fill="F5F5F5"/>
        <w:spacing w:before="100" w:beforeAutospacing="1" w:after="100" w:afterAutospacing="1" w:line="240" w:lineRule="auto"/>
        <w:ind w:firstLine="0"/>
        <w:outlineLvl w:val="1"/>
        <w:rPr>
          <w:rFonts w:ascii="Verdana" w:eastAsia="Times New Roman" w:hAnsi="Verdana" w:cs="Times New Roman"/>
          <w:b/>
          <w:bCs/>
          <w:color w:val="333333"/>
          <w:sz w:val="28"/>
          <w:szCs w:val="28"/>
          <w:lang w:eastAsia="it-IT"/>
        </w:rPr>
      </w:pPr>
    </w:p>
    <w:p w:rsidR="003100D6" w:rsidRPr="003100D6" w:rsidRDefault="003100D6" w:rsidP="003100D6">
      <w:pPr>
        <w:shd w:val="clear" w:color="auto" w:fill="F5F5F5"/>
        <w:spacing w:before="100" w:beforeAutospacing="1" w:after="100" w:afterAutospacing="1" w:line="240" w:lineRule="auto"/>
        <w:ind w:firstLine="0"/>
        <w:outlineLvl w:val="1"/>
        <w:rPr>
          <w:rFonts w:ascii="Verdana" w:eastAsia="Times New Roman" w:hAnsi="Verdana" w:cs="Times New Roman"/>
          <w:b/>
          <w:bCs/>
          <w:color w:val="333333"/>
          <w:sz w:val="36"/>
          <w:szCs w:val="36"/>
          <w:lang w:eastAsia="it-IT"/>
        </w:rPr>
      </w:pPr>
      <w:r w:rsidRPr="003100D6">
        <w:rPr>
          <w:rFonts w:ascii="Verdana" w:eastAsia="Times New Roman" w:hAnsi="Verdana" w:cs="Times New Roman"/>
          <w:b/>
          <w:bCs/>
          <w:color w:val="333333"/>
          <w:sz w:val="36"/>
          <w:szCs w:val="36"/>
          <w:lang w:eastAsia="it-IT"/>
        </w:rPr>
        <w:t>“Tenuità del fatto” e non abitualità</w:t>
      </w:r>
    </w:p>
    <w:p w:rsidR="003100D6" w:rsidRPr="003100D6" w:rsidRDefault="003100D6" w:rsidP="003100D6">
      <w:pPr>
        <w:shd w:val="clear" w:color="auto" w:fill="F5F5F5"/>
        <w:spacing w:before="100" w:beforeAutospacing="1" w:after="225" w:line="240" w:lineRule="auto"/>
        <w:ind w:firstLine="0"/>
        <w:rPr>
          <w:rFonts w:ascii="Verdana" w:eastAsia="Times New Roman" w:hAnsi="Verdana" w:cs="Times New Roman"/>
          <w:color w:val="333333"/>
          <w:sz w:val="28"/>
          <w:szCs w:val="28"/>
          <w:lang w:eastAsia="it-IT"/>
        </w:rPr>
      </w:pPr>
      <w:r w:rsidRPr="003100D6">
        <w:rPr>
          <w:rFonts w:ascii="Verdana" w:eastAsia="Times New Roman" w:hAnsi="Verdana" w:cs="Times New Roman"/>
          <w:color w:val="333333"/>
          <w:sz w:val="28"/>
          <w:szCs w:val="28"/>
          <w:lang w:eastAsia="it-IT"/>
        </w:rPr>
        <w:t xml:space="preserve">Il d. </w:t>
      </w:r>
      <w:proofErr w:type="spellStart"/>
      <w:r w:rsidRPr="003100D6">
        <w:rPr>
          <w:rFonts w:ascii="Verdana" w:eastAsia="Times New Roman" w:hAnsi="Verdana" w:cs="Times New Roman"/>
          <w:color w:val="333333"/>
          <w:sz w:val="28"/>
          <w:szCs w:val="28"/>
          <w:lang w:eastAsia="it-IT"/>
        </w:rPr>
        <w:t>lgs</w:t>
      </w:r>
      <w:proofErr w:type="spellEnd"/>
      <w:r w:rsidRPr="003100D6">
        <w:rPr>
          <w:rFonts w:ascii="Verdana" w:eastAsia="Times New Roman" w:hAnsi="Verdana" w:cs="Times New Roman"/>
          <w:color w:val="333333"/>
          <w:sz w:val="28"/>
          <w:szCs w:val="28"/>
          <w:lang w:eastAsia="it-IT"/>
        </w:rPr>
        <w:t xml:space="preserve">. n. 28/2015 inserisce nel </w:t>
      </w:r>
      <w:hyperlink r:id="rId4" w:tooltip="il testo del codice penale" w:history="1">
        <w:r w:rsidRPr="003100D6">
          <w:rPr>
            <w:rFonts w:ascii="Verdana" w:eastAsia="Times New Roman" w:hAnsi="Verdana" w:cs="Times New Roman"/>
            <w:color w:val="2E697A"/>
            <w:sz w:val="28"/>
            <w:u w:val="single"/>
            <w:lang w:eastAsia="it-IT"/>
          </w:rPr>
          <w:t>codice penale</w:t>
        </w:r>
      </w:hyperlink>
      <w:r w:rsidRPr="003100D6">
        <w:rPr>
          <w:rFonts w:ascii="Verdana" w:eastAsia="Times New Roman" w:hAnsi="Verdana" w:cs="Times New Roman"/>
          <w:color w:val="333333"/>
          <w:sz w:val="28"/>
          <w:szCs w:val="28"/>
          <w:lang w:eastAsia="it-IT"/>
        </w:rPr>
        <w:t xml:space="preserve"> il nuovo </w:t>
      </w:r>
      <w:r w:rsidRPr="003100D6">
        <w:rPr>
          <w:rFonts w:ascii="Verdana" w:eastAsia="Times New Roman" w:hAnsi="Verdana" w:cs="Times New Roman"/>
          <w:b/>
          <w:bCs/>
          <w:color w:val="333333"/>
          <w:sz w:val="28"/>
          <w:szCs w:val="28"/>
          <w:lang w:eastAsia="it-IT"/>
        </w:rPr>
        <w:t>art. 131-bis</w:t>
      </w:r>
      <w:r w:rsidRPr="003100D6">
        <w:rPr>
          <w:rFonts w:ascii="Verdana" w:eastAsia="Times New Roman" w:hAnsi="Verdana" w:cs="Times New Roman"/>
          <w:color w:val="333333"/>
          <w:sz w:val="28"/>
          <w:szCs w:val="28"/>
          <w:lang w:eastAsia="it-IT"/>
        </w:rPr>
        <w:t xml:space="preserve"> che prevede la non punibilità per i reati per i quali è prevista “la pena detentiva non superiore nel massimo a cinque anni, ovvero la pena pecuniaria, sola o congiunta”, laddove l’offesa, per le modalità della condotta e per l’esiguità del danno o del pericolo, valutate ai sensi dell’art. 133, 1° comma, c.p., sia “di </w:t>
      </w:r>
      <w:r w:rsidRPr="003100D6">
        <w:rPr>
          <w:rFonts w:ascii="Verdana" w:eastAsia="Times New Roman" w:hAnsi="Verdana" w:cs="Times New Roman"/>
          <w:b/>
          <w:bCs/>
          <w:color w:val="333333"/>
          <w:sz w:val="28"/>
          <w:szCs w:val="28"/>
          <w:lang w:eastAsia="it-IT"/>
        </w:rPr>
        <w:t>particolare tenuità e il comportamento risulta non abituale</w:t>
      </w:r>
      <w:r w:rsidRPr="003100D6">
        <w:rPr>
          <w:rFonts w:ascii="Verdana" w:eastAsia="Times New Roman" w:hAnsi="Verdana" w:cs="Times New Roman"/>
          <w:color w:val="333333"/>
          <w:sz w:val="28"/>
          <w:szCs w:val="28"/>
          <w:lang w:eastAsia="it-IT"/>
        </w:rPr>
        <w:t xml:space="preserve">”. </w:t>
      </w:r>
    </w:p>
    <w:p w:rsidR="003100D6" w:rsidRPr="003100D6" w:rsidRDefault="003100D6" w:rsidP="003100D6">
      <w:pPr>
        <w:shd w:val="clear" w:color="auto" w:fill="F5F5F5"/>
        <w:spacing w:before="100" w:beforeAutospacing="1" w:after="100" w:afterAutospacing="1" w:line="240" w:lineRule="auto"/>
        <w:ind w:firstLine="0"/>
        <w:outlineLvl w:val="1"/>
        <w:rPr>
          <w:rFonts w:ascii="Verdana" w:eastAsia="Times New Roman" w:hAnsi="Verdana" w:cs="Times New Roman"/>
          <w:b/>
          <w:bCs/>
          <w:color w:val="333333"/>
          <w:sz w:val="36"/>
          <w:szCs w:val="36"/>
          <w:lang w:eastAsia="it-IT"/>
        </w:rPr>
      </w:pPr>
      <w:r w:rsidRPr="003100D6">
        <w:rPr>
          <w:rFonts w:ascii="Verdana" w:eastAsia="Times New Roman" w:hAnsi="Verdana" w:cs="Times New Roman"/>
          <w:b/>
          <w:bCs/>
          <w:color w:val="333333"/>
          <w:sz w:val="36"/>
          <w:szCs w:val="36"/>
          <w:lang w:eastAsia="it-IT"/>
        </w:rPr>
        <w:t>I reati cui si applica l’istituto</w:t>
      </w:r>
    </w:p>
    <w:p w:rsidR="003100D6" w:rsidRPr="003100D6" w:rsidRDefault="003100D6" w:rsidP="003100D6">
      <w:pPr>
        <w:shd w:val="clear" w:color="auto" w:fill="F5F5F5"/>
        <w:spacing w:before="100" w:beforeAutospacing="1" w:after="225" w:line="240" w:lineRule="auto"/>
        <w:ind w:firstLine="0"/>
        <w:rPr>
          <w:rFonts w:ascii="Verdana" w:eastAsia="Times New Roman" w:hAnsi="Verdana" w:cs="Times New Roman"/>
          <w:color w:val="333333"/>
          <w:sz w:val="28"/>
          <w:szCs w:val="28"/>
          <w:lang w:eastAsia="it-IT"/>
        </w:rPr>
      </w:pPr>
      <w:r w:rsidRPr="003100D6">
        <w:rPr>
          <w:rFonts w:ascii="Verdana" w:eastAsia="Times New Roman" w:hAnsi="Verdana" w:cs="Times New Roman"/>
          <w:color w:val="333333"/>
          <w:sz w:val="28"/>
          <w:szCs w:val="28"/>
          <w:lang w:eastAsia="it-IT"/>
        </w:rPr>
        <w:t xml:space="preserve">Rientrano, pertanto, </w:t>
      </w:r>
      <w:r w:rsidRPr="003100D6">
        <w:rPr>
          <w:rFonts w:ascii="Verdana" w:eastAsia="Times New Roman" w:hAnsi="Verdana" w:cs="Times New Roman"/>
          <w:b/>
          <w:bCs/>
          <w:color w:val="333333"/>
          <w:sz w:val="28"/>
          <w:szCs w:val="28"/>
          <w:lang w:eastAsia="it-IT"/>
        </w:rPr>
        <w:t>nel novero dei reati</w:t>
      </w:r>
      <w:r w:rsidRPr="003100D6">
        <w:rPr>
          <w:rFonts w:ascii="Verdana" w:eastAsia="Times New Roman" w:hAnsi="Verdana" w:cs="Times New Roman"/>
          <w:color w:val="333333"/>
          <w:sz w:val="28"/>
          <w:szCs w:val="28"/>
          <w:lang w:eastAsia="it-IT"/>
        </w:rPr>
        <w:t xml:space="preserve"> per i quali il nuovo istituto stabilisce la non punibilità per tenuità del fatto, la maggior parte dei </w:t>
      </w:r>
      <w:r w:rsidRPr="003100D6">
        <w:rPr>
          <w:rFonts w:ascii="Verdana" w:eastAsia="Times New Roman" w:hAnsi="Verdana" w:cs="Times New Roman"/>
          <w:b/>
          <w:bCs/>
          <w:color w:val="333333"/>
          <w:sz w:val="28"/>
          <w:szCs w:val="28"/>
          <w:lang w:eastAsia="it-IT"/>
        </w:rPr>
        <w:t>delitti “comuni”</w:t>
      </w:r>
      <w:r w:rsidRPr="003100D6">
        <w:rPr>
          <w:rFonts w:ascii="Verdana" w:eastAsia="Times New Roman" w:hAnsi="Verdana" w:cs="Times New Roman"/>
          <w:color w:val="333333"/>
          <w:sz w:val="28"/>
          <w:szCs w:val="28"/>
          <w:lang w:eastAsia="it-IT"/>
        </w:rPr>
        <w:t xml:space="preserve"> che prevedono una pena (nel massimo edittale) non superiore ai 5 anni ovvero, congiuntamente o meno, una sanzione pecuniaria. </w:t>
      </w:r>
    </w:p>
    <w:p w:rsidR="003100D6" w:rsidRPr="003100D6" w:rsidRDefault="003100D6" w:rsidP="003100D6">
      <w:pPr>
        <w:shd w:val="clear" w:color="auto" w:fill="F5F5F5"/>
        <w:spacing w:before="100" w:beforeAutospacing="1" w:after="225" w:line="240" w:lineRule="auto"/>
        <w:ind w:firstLine="0"/>
        <w:rPr>
          <w:rFonts w:ascii="Verdana" w:eastAsia="Times New Roman" w:hAnsi="Verdana" w:cs="Times New Roman"/>
          <w:color w:val="333333"/>
          <w:sz w:val="28"/>
          <w:szCs w:val="28"/>
          <w:lang w:eastAsia="it-IT"/>
        </w:rPr>
      </w:pPr>
      <w:r w:rsidRPr="003100D6">
        <w:rPr>
          <w:rFonts w:ascii="Verdana" w:eastAsia="Times New Roman" w:hAnsi="Verdana" w:cs="Times New Roman"/>
          <w:color w:val="333333"/>
          <w:sz w:val="28"/>
          <w:szCs w:val="28"/>
          <w:lang w:eastAsia="it-IT"/>
        </w:rPr>
        <w:t>Tra questi rilevano: l’abuso d’ufficio, l’</w:t>
      </w:r>
      <w:hyperlink r:id="rId5" w:tooltip="Il reato di oltraggio a pubblico ufficiale" w:history="1">
        <w:r w:rsidRPr="003100D6">
          <w:rPr>
            <w:rFonts w:ascii="Verdana" w:eastAsia="Times New Roman" w:hAnsi="Verdana" w:cs="Times New Roman"/>
            <w:color w:val="2E697A"/>
            <w:sz w:val="28"/>
            <w:u w:val="single"/>
            <w:lang w:eastAsia="it-IT"/>
          </w:rPr>
          <w:t>oltraggio a pubblico ufficiale</w:t>
        </w:r>
      </w:hyperlink>
      <w:r w:rsidRPr="003100D6">
        <w:rPr>
          <w:rFonts w:ascii="Verdana" w:eastAsia="Times New Roman" w:hAnsi="Verdana" w:cs="Times New Roman"/>
          <w:color w:val="333333"/>
          <w:sz w:val="28"/>
          <w:szCs w:val="28"/>
          <w:lang w:eastAsia="it-IT"/>
        </w:rPr>
        <w:t>, gli atti osceni, l’</w:t>
      </w:r>
      <w:hyperlink r:id="rId6" w:tooltip="Il reato di ingiuria" w:history="1">
        <w:r w:rsidRPr="003100D6">
          <w:rPr>
            <w:rFonts w:ascii="Verdana" w:eastAsia="Times New Roman" w:hAnsi="Verdana" w:cs="Times New Roman"/>
            <w:color w:val="2E697A"/>
            <w:sz w:val="28"/>
            <w:u w:val="single"/>
            <w:lang w:eastAsia="it-IT"/>
          </w:rPr>
          <w:t>ingiuria</w:t>
        </w:r>
      </w:hyperlink>
      <w:r w:rsidRPr="003100D6">
        <w:rPr>
          <w:rFonts w:ascii="Verdana" w:eastAsia="Times New Roman" w:hAnsi="Verdana" w:cs="Times New Roman"/>
          <w:color w:val="333333"/>
          <w:sz w:val="28"/>
          <w:szCs w:val="28"/>
          <w:lang w:eastAsia="it-IT"/>
        </w:rPr>
        <w:t xml:space="preserve">, le percosse, la diffamazione, la violazione di domicilio, il furto semplice, le lesioni colpose, la rissa, ecc. </w:t>
      </w:r>
    </w:p>
    <w:p w:rsidR="003100D6" w:rsidRPr="003100D6" w:rsidRDefault="003100D6" w:rsidP="003100D6">
      <w:pPr>
        <w:shd w:val="clear" w:color="auto" w:fill="F5F5F5"/>
        <w:spacing w:before="100" w:beforeAutospacing="1" w:after="100" w:afterAutospacing="1" w:line="240" w:lineRule="auto"/>
        <w:ind w:firstLine="0"/>
        <w:outlineLvl w:val="1"/>
        <w:rPr>
          <w:rFonts w:ascii="Verdana" w:eastAsia="Times New Roman" w:hAnsi="Verdana" w:cs="Times New Roman"/>
          <w:b/>
          <w:bCs/>
          <w:color w:val="333333"/>
          <w:sz w:val="36"/>
          <w:szCs w:val="36"/>
          <w:lang w:eastAsia="it-IT"/>
        </w:rPr>
      </w:pPr>
      <w:r w:rsidRPr="003100D6">
        <w:rPr>
          <w:rFonts w:ascii="Verdana" w:eastAsia="Times New Roman" w:hAnsi="Verdana" w:cs="Times New Roman"/>
          <w:b/>
          <w:bCs/>
          <w:color w:val="333333"/>
          <w:sz w:val="36"/>
          <w:szCs w:val="36"/>
          <w:lang w:eastAsia="it-IT"/>
        </w:rPr>
        <w:t xml:space="preserve">Le esclusioni </w:t>
      </w:r>
    </w:p>
    <w:p w:rsidR="003100D6" w:rsidRPr="003100D6" w:rsidRDefault="003100D6" w:rsidP="003100D6">
      <w:pPr>
        <w:shd w:val="clear" w:color="auto" w:fill="F5F5F5"/>
        <w:spacing w:before="100" w:beforeAutospacing="1" w:after="225" w:line="240" w:lineRule="auto"/>
        <w:ind w:firstLine="0"/>
        <w:rPr>
          <w:rFonts w:ascii="Verdana" w:eastAsia="Times New Roman" w:hAnsi="Verdana" w:cs="Times New Roman"/>
          <w:color w:val="333333"/>
          <w:sz w:val="28"/>
          <w:szCs w:val="28"/>
          <w:lang w:eastAsia="it-IT"/>
        </w:rPr>
      </w:pPr>
      <w:r w:rsidRPr="003100D6">
        <w:rPr>
          <w:rFonts w:ascii="Verdana" w:eastAsia="Times New Roman" w:hAnsi="Verdana" w:cs="Times New Roman"/>
          <w:color w:val="333333"/>
          <w:sz w:val="28"/>
          <w:szCs w:val="28"/>
          <w:lang w:eastAsia="it-IT"/>
        </w:rPr>
        <w:t xml:space="preserve">Tuttavia, ai fini dell’applicabilità dell’istituto, il nuovo art. 131-bis si preoccupa di individuare </w:t>
      </w:r>
      <w:r w:rsidRPr="003100D6">
        <w:rPr>
          <w:rFonts w:ascii="Verdana" w:eastAsia="Times New Roman" w:hAnsi="Verdana" w:cs="Times New Roman"/>
          <w:b/>
          <w:bCs/>
          <w:color w:val="333333"/>
          <w:sz w:val="28"/>
          <w:szCs w:val="28"/>
          <w:lang w:eastAsia="it-IT"/>
        </w:rPr>
        <w:t>due condizioni</w:t>
      </w:r>
      <w:r w:rsidRPr="003100D6">
        <w:rPr>
          <w:rFonts w:ascii="Verdana" w:eastAsia="Times New Roman" w:hAnsi="Verdana" w:cs="Times New Roman"/>
          <w:color w:val="333333"/>
          <w:sz w:val="28"/>
          <w:szCs w:val="28"/>
          <w:lang w:eastAsia="it-IT"/>
        </w:rPr>
        <w:t xml:space="preserve"> che soggiacciono alla non punibilità del fatto: la </w:t>
      </w:r>
      <w:r w:rsidRPr="003100D6">
        <w:rPr>
          <w:rFonts w:ascii="Verdana" w:eastAsia="Times New Roman" w:hAnsi="Verdana" w:cs="Times New Roman"/>
          <w:b/>
          <w:bCs/>
          <w:color w:val="333333"/>
          <w:sz w:val="28"/>
          <w:szCs w:val="28"/>
          <w:lang w:eastAsia="it-IT"/>
        </w:rPr>
        <w:t>scarsa gravità dell’offesa</w:t>
      </w:r>
      <w:r w:rsidRPr="003100D6">
        <w:rPr>
          <w:rFonts w:ascii="Verdana" w:eastAsia="Times New Roman" w:hAnsi="Verdana" w:cs="Times New Roman"/>
          <w:color w:val="333333"/>
          <w:sz w:val="28"/>
          <w:szCs w:val="28"/>
          <w:lang w:eastAsia="it-IT"/>
        </w:rPr>
        <w:t xml:space="preserve"> e la </w:t>
      </w:r>
      <w:r w:rsidRPr="003100D6">
        <w:rPr>
          <w:rFonts w:ascii="Verdana" w:eastAsia="Times New Roman" w:hAnsi="Verdana" w:cs="Times New Roman"/>
          <w:b/>
          <w:bCs/>
          <w:color w:val="333333"/>
          <w:sz w:val="28"/>
          <w:szCs w:val="28"/>
          <w:lang w:eastAsia="it-IT"/>
        </w:rPr>
        <w:t xml:space="preserve">non abitualità del comportamento. </w:t>
      </w:r>
    </w:p>
    <w:p w:rsidR="003100D6" w:rsidRPr="003100D6" w:rsidRDefault="003100D6" w:rsidP="003100D6">
      <w:pPr>
        <w:shd w:val="clear" w:color="auto" w:fill="F5F5F5"/>
        <w:spacing w:before="100" w:beforeAutospacing="1" w:after="225" w:line="240" w:lineRule="auto"/>
        <w:ind w:firstLine="0"/>
        <w:rPr>
          <w:rFonts w:ascii="Verdana" w:eastAsia="Times New Roman" w:hAnsi="Verdana" w:cs="Times New Roman"/>
          <w:color w:val="333333"/>
          <w:sz w:val="28"/>
          <w:szCs w:val="28"/>
          <w:lang w:eastAsia="it-IT"/>
        </w:rPr>
      </w:pPr>
      <w:r w:rsidRPr="003100D6">
        <w:rPr>
          <w:rFonts w:ascii="Verdana" w:eastAsia="Times New Roman" w:hAnsi="Verdana" w:cs="Times New Roman"/>
          <w:color w:val="333333"/>
          <w:sz w:val="28"/>
          <w:szCs w:val="28"/>
          <w:lang w:eastAsia="it-IT"/>
        </w:rPr>
        <w:t xml:space="preserve">Quanto al primo requisito, l’offesa, per il comma 2 della disposizione, </w:t>
      </w:r>
      <w:r w:rsidRPr="003100D6">
        <w:rPr>
          <w:rFonts w:ascii="Verdana" w:eastAsia="Times New Roman" w:hAnsi="Verdana" w:cs="Times New Roman"/>
          <w:b/>
          <w:bCs/>
          <w:color w:val="333333"/>
          <w:sz w:val="28"/>
          <w:szCs w:val="28"/>
          <w:lang w:eastAsia="it-IT"/>
        </w:rPr>
        <w:t>non può essere ritenuta di particolare tenuità</w:t>
      </w:r>
      <w:r w:rsidRPr="003100D6">
        <w:rPr>
          <w:rFonts w:ascii="Verdana" w:eastAsia="Times New Roman" w:hAnsi="Verdana" w:cs="Times New Roman"/>
          <w:color w:val="333333"/>
          <w:sz w:val="28"/>
          <w:szCs w:val="28"/>
          <w:lang w:eastAsia="it-IT"/>
        </w:rPr>
        <w:t>, quando l’autore abbia agito “</w:t>
      </w:r>
      <w:r w:rsidRPr="003100D6">
        <w:rPr>
          <w:rFonts w:ascii="Verdana" w:eastAsia="Times New Roman" w:hAnsi="Verdana" w:cs="Times New Roman"/>
          <w:i/>
          <w:iCs/>
          <w:color w:val="333333"/>
          <w:sz w:val="28"/>
          <w:szCs w:val="28"/>
          <w:lang w:eastAsia="it-IT"/>
        </w:rPr>
        <w:t>per motivi abietti o futili, o con crudeltà, anche in danno di animali</w:t>
      </w:r>
      <w:r w:rsidRPr="003100D6">
        <w:rPr>
          <w:rFonts w:ascii="Verdana" w:eastAsia="Times New Roman" w:hAnsi="Verdana" w:cs="Times New Roman"/>
          <w:color w:val="333333"/>
          <w:sz w:val="28"/>
          <w:szCs w:val="28"/>
          <w:lang w:eastAsia="it-IT"/>
        </w:rPr>
        <w:t>” ovvero abbia “</w:t>
      </w:r>
      <w:r w:rsidRPr="003100D6">
        <w:rPr>
          <w:rFonts w:ascii="Verdana" w:eastAsia="Times New Roman" w:hAnsi="Verdana" w:cs="Times New Roman"/>
          <w:i/>
          <w:iCs/>
          <w:color w:val="333333"/>
          <w:sz w:val="28"/>
          <w:szCs w:val="28"/>
          <w:lang w:eastAsia="it-IT"/>
        </w:rPr>
        <w:t>adoperato sevizie</w:t>
      </w:r>
      <w:r w:rsidRPr="003100D6">
        <w:rPr>
          <w:rFonts w:ascii="Verdana" w:eastAsia="Times New Roman" w:hAnsi="Verdana" w:cs="Times New Roman"/>
          <w:color w:val="333333"/>
          <w:sz w:val="28"/>
          <w:szCs w:val="28"/>
          <w:lang w:eastAsia="it-IT"/>
        </w:rPr>
        <w:t>”, o, ancora, abbia “</w:t>
      </w:r>
      <w:r w:rsidRPr="003100D6">
        <w:rPr>
          <w:rFonts w:ascii="Verdana" w:eastAsia="Times New Roman" w:hAnsi="Verdana" w:cs="Times New Roman"/>
          <w:i/>
          <w:iCs/>
          <w:color w:val="333333"/>
          <w:sz w:val="28"/>
          <w:szCs w:val="28"/>
          <w:lang w:eastAsia="it-IT"/>
        </w:rPr>
        <w:t>profittato delle condizioni di minorata difesa della vittima, anche in riferimento all’età della stessa</w:t>
      </w:r>
      <w:r w:rsidRPr="003100D6">
        <w:rPr>
          <w:rFonts w:ascii="Verdana" w:eastAsia="Times New Roman" w:hAnsi="Verdana" w:cs="Times New Roman"/>
          <w:color w:val="333333"/>
          <w:sz w:val="28"/>
          <w:szCs w:val="28"/>
          <w:lang w:eastAsia="it-IT"/>
        </w:rPr>
        <w:t xml:space="preserve">” o la condotta abbia cagionato o dalla stessa siano derivate, “quali </w:t>
      </w:r>
      <w:r w:rsidRPr="003100D6">
        <w:rPr>
          <w:rFonts w:ascii="Verdana" w:eastAsia="Times New Roman" w:hAnsi="Verdana" w:cs="Times New Roman"/>
          <w:color w:val="333333"/>
          <w:sz w:val="28"/>
          <w:szCs w:val="28"/>
          <w:lang w:eastAsia="it-IT"/>
        </w:rPr>
        <w:lastRenderedPageBreak/>
        <w:t xml:space="preserve">conseguenze non volute, </w:t>
      </w:r>
      <w:r w:rsidRPr="003100D6">
        <w:rPr>
          <w:rFonts w:ascii="Verdana" w:eastAsia="Times New Roman" w:hAnsi="Verdana" w:cs="Times New Roman"/>
          <w:b/>
          <w:bCs/>
          <w:color w:val="333333"/>
          <w:sz w:val="28"/>
          <w:szCs w:val="28"/>
          <w:lang w:eastAsia="it-IT"/>
        </w:rPr>
        <w:t xml:space="preserve">la morte o le lesioni gravissime di una persona”. </w:t>
      </w:r>
    </w:p>
    <w:p w:rsidR="003100D6" w:rsidRPr="003100D6" w:rsidRDefault="003100D6" w:rsidP="003100D6">
      <w:pPr>
        <w:shd w:val="clear" w:color="auto" w:fill="F5F5F5"/>
        <w:spacing w:before="100" w:beforeAutospacing="1" w:after="225" w:line="240" w:lineRule="auto"/>
        <w:ind w:firstLine="0"/>
        <w:rPr>
          <w:rFonts w:ascii="Verdana" w:eastAsia="Times New Roman" w:hAnsi="Verdana" w:cs="Times New Roman"/>
          <w:color w:val="333333"/>
          <w:sz w:val="28"/>
          <w:szCs w:val="28"/>
          <w:lang w:eastAsia="it-IT"/>
        </w:rPr>
      </w:pPr>
      <w:r w:rsidRPr="003100D6">
        <w:rPr>
          <w:rFonts w:ascii="Verdana" w:eastAsia="Times New Roman" w:hAnsi="Verdana" w:cs="Times New Roman"/>
          <w:color w:val="333333"/>
          <w:sz w:val="28"/>
          <w:szCs w:val="28"/>
          <w:lang w:eastAsia="it-IT"/>
        </w:rPr>
        <w:t xml:space="preserve">Quanto al secondo requisito, invece, ex comma 3, il comportamento è considerato </w:t>
      </w:r>
      <w:r w:rsidRPr="003100D6">
        <w:rPr>
          <w:rFonts w:ascii="Verdana" w:eastAsia="Times New Roman" w:hAnsi="Verdana" w:cs="Times New Roman"/>
          <w:b/>
          <w:bCs/>
          <w:color w:val="333333"/>
          <w:sz w:val="28"/>
          <w:szCs w:val="28"/>
          <w:lang w:eastAsia="it-IT"/>
        </w:rPr>
        <w:t>abituale</w:t>
      </w:r>
      <w:r w:rsidRPr="003100D6">
        <w:rPr>
          <w:rFonts w:ascii="Verdana" w:eastAsia="Times New Roman" w:hAnsi="Verdana" w:cs="Times New Roman"/>
          <w:color w:val="333333"/>
          <w:sz w:val="28"/>
          <w:szCs w:val="28"/>
          <w:lang w:eastAsia="it-IT"/>
        </w:rPr>
        <w:t xml:space="preserve"> allorquando l’autore sia stato dichiarato “</w:t>
      </w:r>
      <w:r w:rsidRPr="003100D6">
        <w:rPr>
          <w:rFonts w:ascii="Verdana" w:eastAsia="Times New Roman" w:hAnsi="Verdana" w:cs="Times New Roman"/>
          <w:i/>
          <w:iCs/>
          <w:color w:val="333333"/>
          <w:sz w:val="28"/>
          <w:szCs w:val="28"/>
          <w:lang w:eastAsia="it-IT"/>
        </w:rPr>
        <w:t>delinquente abituale, professionale o per tendenza ovvero abbia commesso più reati della stessa indole, anche se ciascun fatto, isolatamente considerato, sia di particolare tenuità, nonché nel caso in cui si tratti di reati che abbiano ad oggetto condotte plurime, abituali o reiterate</w:t>
      </w:r>
      <w:r w:rsidRPr="003100D6">
        <w:rPr>
          <w:rFonts w:ascii="Verdana" w:eastAsia="Times New Roman" w:hAnsi="Verdana" w:cs="Times New Roman"/>
          <w:color w:val="333333"/>
          <w:sz w:val="28"/>
          <w:szCs w:val="28"/>
          <w:lang w:eastAsia="it-IT"/>
        </w:rPr>
        <w:t xml:space="preserve">”. </w:t>
      </w:r>
    </w:p>
    <w:p w:rsidR="003100D6" w:rsidRPr="003100D6" w:rsidRDefault="003100D6" w:rsidP="003100D6">
      <w:pPr>
        <w:shd w:val="clear" w:color="auto" w:fill="F5F5F5"/>
        <w:spacing w:before="100" w:beforeAutospacing="1" w:after="100" w:afterAutospacing="1" w:line="240" w:lineRule="auto"/>
        <w:ind w:firstLine="0"/>
        <w:outlineLvl w:val="1"/>
        <w:rPr>
          <w:rFonts w:ascii="Verdana" w:eastAsia="Times New Roman" w:hAnsi="Verdana" w:cs="Times New Roman"/>
          <w:b/>
          <w:bCs/>
          <w:color w:val="333333"/>
          <w:sz w:val="36"/>
          <w:szCs w:val="36"/>
          <w:lang w:eastAsia="it-IT"/>
        </w:rPr>
      </w:pPr>
      <w:r w:rsidRPr="003100D6">
        <w:rPr>
          <w:rFonts w:ascii="Verdana" w:eastAsia="Times New Roman" w:hAnsi="Verdana" w:cs="Times New Roman"/>
          <w:b/>
          <w:bCs/>
          <w:color w:val="333333"/>
          <w:sz w:val="36"/>
          <w:szCs w:val="36"/>
          <w:lang w:eastAsia="it-IT"/>
        </w:rPr>
        <w:t>La discrezionalità del giudice</w:t>
      </w:r>
    </w:p>
    <w:p w:rsidR="003100D6" w:rsidRPr="003100D6" w:rsidRDefault="003100D6" w:rsidP="003100D6">
      <w:pPr>
        <w:shd w:val="clear" w:color="auto" w:fill="F5F5F5"/>
        <w:spacing w:before="100" w:beforeAutospacing="1" w:after="225" w:line="240" w:lineRule="auto"/>
        <w:ind w:firstLine="0"/>
        <w:rPr>
          <w:rFonts w:ascii="Verdana" w:eastAsia="Times New Roman" w:hAnsi="Verdana" w:cs="Times New Roman"/>
          <w:color w:val="333333"/>
          <w:sz w:val="28"/>
          <w:szCs w:val="28"/>
          <w:lang w:eastAsia="it-IT"/>
        </w:rPr>
      </w:pPr>
      <w:r w:rsidRPr="003100D6">
        <w:rPr>
          <w:rFonts w:ascii="Verdana" w:eastAsia="Times New Roman" w:hAnsi="Verdana" w:cs="Times New Roman"/>
          <w:color w:val="333333"/>
          <w:sz w:val="28"/>
          <w:szCs w:val="28"/>
          <w:lang w:eastAsia="it-IT"/>
        </w:rPr>
        <w:t xml:space="preserve">La decisione sull’applicazione o meno della non punibilità del fatto andrà comunque presa dal giudice, non essendo previsto alcun automatismo. </w:t>
      </w:r>
    </w:p>
    <w:p w:rsidR="003100D6" w:rsidRPr="003100D6" w:rsidRDefault="003100D6" w:rsidP="003100D6">
      <w:pPr>
        <w:shd w:val="clear" w:color="auto" w:fill="F5F5F5"/>
        <w:spacing w:before="100" w:beforeAutospacing="1" w:after="225" w:line="240" w:lineRule="auto"/>
        <w:ind w:firstLine="0"/>
        <w:rPr>
          <w:rFonts w:ascii="Verdana" w:eastAsia="Times New Roman" w:hAnsi="Verdana" w:cs="Times New Roman"/>
          <w:color w:val="333333"/>
          <w:sz w:val="28"/>
          <w:szCs w:val="28"/>
          <w:lang w:eastAsia="it-IT"/>
        </w:rPr>
      </w:pPr>
      <w:r w:rsidRPr="003100D6">
        <w:rPr>
          <w:rFonts w:ascii="Verdana" w:eastAsia="Times New Roman" w:hAnsi="Verdana" w:cs="Times New Roman"/>
          <w:color w:val="333333"/>
          <w:sz w:val="28"/>
          <w:szCs w:val="28"/>
          <w:lang w:eastAsia="it-IT"/>
        </w:rPr>
        <w:t xml:space="preserve">Si profila, dunque, un </w:t>
      </w:r>
      <w:r w:rsidRPr="003100D6">
        <w:rPr>
          <w:rFonts w:ascii="Verdana" w:eastAsia="Times New Roman" w:hAnsi="Verdana" w:cs="Times New Roman"/>
          <w:b/>
          <w:bCs/>
          <w:color w:val="333333"/>
          <w:sz w:val="28"/>
          <w:szCs w:val="28"/>
          <w:lang w:eastAsia="it-IT"/>
        </w:rPr>
        <w:t>ampio potere discrezionale</w:t>
      </w:r>
      <w:r w:rsidRPr="003100D6">
        <w:rPr>
          <w:rFonts w:ascii="Verdana" w:eastAsia="Times New Roman" w:hAnsi="Verdana" w:cs="Times New Roman"/>
          <w:color w:val="333333"/>
          <w:sz w:val="28"/>
          <w:szCs w:val="28"/>
          <w:lang w:eastAsia="it-IT"/>
        </w:rPr>
        <w:t xml:space="preserve">, dunque, per il giudicante, il cui esercizio è tuttavia “limitato” sia dai </w:t>
      </w:r>
      <w:r w:rsidRPr="003100D6">
        <w:rPr>
          <w:rFonts w:ascii="Verdana" w:eastAsia="Times New Roman" w:hAnsi="Verdana" w:cs="Times New Roman"/>
          <w:b/>
          <w:bCs/>
          <w:color w:val="333333"/>
          <w:sz w:val="28"/>
          <w:szCs w:val="28"/>
          <w:lang w:eastAsia="it-IT"/>
        </w:rPr>
        <w:t>criteri dettati dall’art. 131-bis</w:t>
      </w:r>
      <w:r w:rsidRPr="003100D6">
        <w:rPr>
          <w:rFonts w:ascii="Verdana" w:eastAsia="Times New Roman" w:hAnsi="Verdana" w:cs="Times New Roman"/>
          <w:color w:val="333333"/>
          <w:sz w:val="28"/>
          <w:szCs w:val="28"/>
          <w:lang w:eastAsia="it-IT"/>
        </w:rPr>
        <w:t xml:space="preserve"> sulla tenuità dell’offesa e sulla non abitualità del comportamento, </w:t>
      </w:r>
      <w:r w:rsidRPr="003100D6">
        <w:rPr>
          <w:rFonts w:ascii="Verdana" w:eastAsia="Times New Roman" w:hAnsi="Verdana" w:cs="Times New Roman"/>
          <w:b/>
          <w:bCs/>
          <w:color w:val="333333"/>
          <w:sz w:val="28"/>
          <w:szCs w:val="28"/>
          <w:lang w:eastAsia="it-IT"/>
        </w:rPr>
        <w:t>sia</w:t>
      </w:r>
      <w:r w:rsidRPr="003100D6">
        <w:rPr>
          <w:rFonts w:ascii="Verdana" w:eastAsia="Times New Roman" w:hAnsi="Verdana" w:cs="Times New Roman"/>
          <w:color w:val="333333"/>
          <w:sz w:val="28"/>
          <w:szCs w:val="28"/>
          <w:lang w:eastAsia="it-IT"/>
        </w:rPr>
        <w:t xml:space="preserve"> </w:t>
      </w:r>
      <w:r w:rsidRPr="003100D6">
        <w:rPr>
          <w:rFonts w:ascii="Verdana" w:eastAsia="Times New Roman" w:hAnsi="Verdana" w:cs="Times New Roman"/>
          <w:b/>
          <w:bCs/>
          <w:color w:val="333333"/>
          <w:sz w:val="28"/>
          <w:szCs w:val="28"/>
          <w:lang w:eastAsia="it-IT"/>
        </w:rPr>
        <w:t>dai dettami dell’art. 133 c.p.</w:t>
      </w:r>
      <w:r w:rsidRPr="003100D6">
        <w:rPr>
          <w:rFonts w:ascii="Verdana" w:eastAsia="Times New Roman" w:hAnsi="Verdana" w:cs="Times New Roman"/>
          <w:color w:val="333333"/>
          <w:sz w:val="28"/>
          <w:szCs w:val="28"/>
          <w:lang w:eastAsia="it-IT"/>
        </w:rPr>
        <w:t xml:space="preserve"> </w:t>
      </w:r>
    </w:p>
    <w:p w:rsidR="003100D6" w:rsidRPr="003100D6" w:rsidRDefault="003100D6" w:rsidP="003100D6">
      <w:pPr>
        <w:shd w:val="clear" w:color="auto" w:fill="F5F5F5"/>
        <w:spacing w:before="100" w:beforeAutospacing="1" w:after="225" w:line="240" w:lineRule="auto"/>
        <w:ind w:firstLine="0"/>
        <w:rPr>
          <w:rFonts w:ascii="Verdana" w:eastAsia="Times New Roman" w:hAnsi="Verdana" w:cs="Times New Roman"/>
          <w:color w:val="333333"/>
          <w:sz w:val="28"/>
          <w:szCs w:val="28"/>
          <w:lang w:eastAsia="it-IT"/>
        </w:rPr>
      </w:pPr>
      <w:r w:rsidRPr="003100D6">
        <w:rPr>
          <w:rFonts w:ascii="Verdana" w:eastAsia="Times New Roman" w:hAnsi="Verdana" w:cs="Times New Roman"/>
          <w:color w:val="333333"/>
          <w:sz w:val="28"/>
          <w:szCs w:val="28"/>
          <w:lang w:eastAsia="it-IT"/>
        </w:rPr>
        <w:t xml:space="preserve">Nell’esprimere la propria valutazione, il giudice dovrà quindi tener conto del </w:t>
      </w:r>
      <w:r w:rsidRPr="003100D6">
        <w:rPr>
          <w:rFonts w:ascii="Verdana" w:eastAsia="Times New Roman" w:hAnsi="Verdana" w:cs="Times New Roman"/>
          <w:b/>
          <w:bCs/>
          <w:color w:val="333333"/>
          <w:sz w:val="28"/>
          <w:szCs w:val="28"/>
          <w:lang w:eastAsia="it-IT"/>
        </w:rPr>
        <w:t>disvalore dell’azione</w:t>
      </w:r>
      <w:r w:rsidRPr="003100D6">
        <w:rPr>
          <w:rFonts w:ascii="Verdana" w:eastAsia="Times New Roman" w:hAnsi="Verdana" w:cs="Times New Roman"/>
          <w:color w:val="333333"/>
          <w:sz w:val="28"/>
          <w:szCs w:val="28"/>
          <w:lang w:eastAsia="it-IT"/>
        </w:rPr>
        <w:t xml:space="preserve">, basandosi sulla natura, la specie, i mezzi, l’oggetto, il tempo, il luogo ed ogni altra modalità del fatto commesso; </w:t>
      </w:r>
      <w:r w:rsidRPr="003100D6">
        <w:rPr>
          <w:rFonts w:ascii="Verdana" w:eastAsia="Times New Roman" w:hAnsi="Verdana" w:cs="Times New Roman"/>
          <w:b/>
          <w:bCs/>
          <w:color w:val="333333"/>
          <w:sz w:val="28"/>
          <w:szCs w:val="28"/>
          <w:lang w:eastAsia="it-IT"/>
        </w:rPr>
        <w:t>della gravità del danno o del pericolo cagionato</w:t>
      </w:r>
      <w:r w:rsidRPr="003100D6">
        <w:rPr>
          <w:rFonts w:ascii="Verdana" w:eastAsia="Times New Roman" w:hAnsi="Verdana" w:cs="Times New Roman"/>
          <w:color w:val="333333"/>
          <w:sz w:val="28"/>
          <w:szCs w:val="28"/>
          <w:lang w:eastAsia="it-IT"/>
        </w:rPr>
        <w:t xml:space="preserve"> alla persona offesa; </w:t>
      </w:r>
      <w:r w:rsidRPr="003100D6">
        <w:rPr>
          <w:rFonts w:ascii="Verdana" w:eastAsia="Times New Roman" w:hAnsi="Verdana" w:cs="Times New Roman"/>
          <w:b/>
          <w:bCs/>
          <w:color w:val="333333"/>
          <w:sz w:val="28"/>
          <w:szCs w:val="28"/>
          <w:lang w:eastAsia="it-IT"/>
        </w:rPr>
        <w:t>dell’intensità del dolo o del grado della colpa,</w:t>
      </w:r>
      <w:r w:rsidRPr="003100D6">
        <w:rPr>
          <w:rFonts w:ascii="Verdana" w:eastAsia="Times New Roman" w:hAnsi="Verdana" w:cs="Times New Roman"/>
          <w:color w:val="333333"/>
          <w:sz w:val="28"/>
          <w:szCs w:val="28"/>
          <w:lang w:eastAsia="it-IT"/>
        </w:rPr>
        <w:t xml:space="preserve"> nonché della </w:t>
      </w:r>
      <w:r w:rsidRPr="003100D6">
        <w:rPr>
          <w:rFonts w:ascii="Verdana" w:eastAsia="Times New Roman" w:hAnsi="Verdana" w:cs="Times New Roman"/>
          <w:b/>
          <w:bCs/>
          <w:color w:val="333333"/>
          <w:sz w:val="28"/>
          <w:szCs w:val="28"/>
          <w:lang w:eastAsia="it-IT"/>
        </w:rPr>
        <w:t>capacità a delinquere</w:t>
      </w:r>
      <w:r w:rsidRPr="003100D6">
        <w:rPr>
          <w:rFonts w:ascii="Verdana" w:eastAsia="Times New Roman" w:hAnsi="Verdana" w:cs="Times New Roman"/>
          <w:color w:val="333333"/>
          <w:sz w:val="28"/>
          <w:szCs w:val="28"/>
          <w:lang w:eastAsia="it-IT"/>
        </w:rPr>
        <w:t xml:space="preserve"> del colpevole (desunta dai motivi a delinquere e dal carattere del reo; dai precedenti penali e giudiziari antecedenti; dalla condotta coeva o successiva al reato; dalle condizioni di vita individuale o familiare e sociale). </w:t>
      </w:r>
    </w:p>
    <w:p w:rsidR="003100D6" w:rsidRPr="003100D6" w:rsidRDefault="003100D6" w:rsidP="003100D6">
      <w:pPr>
        <w:shd w:val="clear" w:color="auto" w:fill="F5F5F5"/>
        <w:spacing w:before="100" w:beforeAutospacing="1" w:after="100" w:afterAutospacing="1" w:line="240" w:lineRule="auto"/>
        <w:ind w:firstLine="0"/>
        <w:outlineLvl w:val="1"/>
        <w:rPr>
          <w:rFonts w:ascii="Verdana" w:eastAsia="Times New Roman" w:hAnsi="Verdana" w:cs="Times New Roman"/>
          <w:b/>
          <w:bCs/>
          <w:color w:val="333333"/>
          <w:sz w:val="36"/>
          <w:szCs w:val="36"/>
          <w:lang w:eastAsia="it-IT"/>
        </w:rPr>
      </w:pPr>
      <w:r w:rsidRPr="003100D6">
        <w:rPr>
          <w:rFonts w:ascii="Verdana" w:eastAsia="Times New Roman" w:hAnsi="Verdana" w:cs="Times New Roman"/>
          <w:b/>
          <w:bCs/>
          <w:color w:val="333333"/>
          <w:sz w:val="36"/>
          <w:szCs w:val="36"/>
          <w:lang w:eastAsia="it-IT"/>
        </w:rPr>
        <w:t>La procedura</w:t>
      </w:r>
    </w:p>
    <w:p w:rsidR="003100D6" w:rsidRPr="003100D6" w:rsidRDefault="003100D6" w:rsidP="003100D6">
      <w:pPr>
        <w:shd w:val="clear" w:color="auto" w:fill="F5F5F5"/>
        <w:spacing w:before="100" w:beforeAutospacing="1" w:after="225" w:line="240" w:lineRule="auto"/>
        <w:ind w:firstLine="0"/>
        <w:rPr>
          <w:rFonts w:ascii="Verdana" w:eastAsia="Times New Roman" w:hAnsi="Verdana" w:cs="Times New Roman"/>
          <w:color w:val="333333"/>
          <w:sz w:val="28"/>
          <w:szCs w:val="28"/>
          <w:lang w:eastAsia="it-IT"/>
        </w:rPr>
      </w:pPr>
      <w:r w:rsidRPr="003100D6">
        <w:rPr>
          <w:rFonts w:ascii="Verdana" w:eastAsia="Times New Roman" w:hAnsi="Verdana" w:cs="Times New Roman"/>
          <w:color w:val="333333"/>
          <w:sz w:val="28"/>
          <w:szCs w:val="28"/>
          <w:lang w:eastAsia="it-IT"/>
        </w:rPr>
        <w:t xml:space="preserve">Secondo il nuovo comma 1-bis dell’art. 411 c.p., il procedimento penale può essere archiviato per particolare tenuità del fatto, già prima di arrivare al giudizio vero e proprio. Il pm, infatti, nella fase di chiusura delle indagini può decidere per l’archiviazione anche in base alla tenuità del fatto dandone avviso alla persona sottoposta alle indagini e alla persona offesa. </w:t>
      </w:r>
    </w:p>
    <w:p w:rsidR="003100D6" w:rsidRPr="003100D6" w:rsidRDefault="003100D6" w:rsidP="003100D6">
      <w:pPr>
        <w:shd w:val="clear" w:color="auto" w:fill="F5F5F5"/>
        <w:spacing w:before="100" w:beforeAutospacing="1" w:after="225" w:line="240" w:lineRule="auto"/>
        <w:ind w:firstLine="0"/>
        <w:rPr>
          <w:rFonts w:ascii="Verdana" w:eastAsia="Times New Roman" w:hAnsi="Verdana" w:cs="Times New Roman"/>
          <w:color w:val="333333"/>
          <w:sz w:val="28"/>
          <w:szCs w:val="28"/>
          <w:lang w:eastAsia="it-IT"/>
        </w:rPr>
      </w:pPr>
      <w:r w:rsidRPr="003100D6">
        <w:rPr>
          <w:rFonts w:ascii="Verdana" w:eastAsia="Times New Roman" w:hAnsi="Verdana" w:cs="Times New Roman"/>
          <w:color w:val="333333"/>
          <w:sz w:val="28"/>
          <w:szCs w:val="28"/>
          <w:lang w:eastAsia="it-IT"/>
        </w:rPr>
        <w:lastRenderedPageBreak/>
        <w:t xml:space="preserve">Entrambi, nel termine di dieci giorni, possono sia prendere visione degli atti che presentare opposizione, indicando, a pena di inammissibilità, le </w:t>
      </w:r>
      <w:r w:rsidRPr="003100D6">
        <w:rPr>
          <w:rFonts w:ascii="Verdana" w:eastAsia="Times New Roman" w:hAnsi="Verdana" w:cs="Times New Roman"/>
          <w:b/>
          <w:bCs/>
          <w:color w:val="333333"/>
          <w:sz w:val="28"/>
          <w:szCs w:val="28"/>
          <w:lang w:eastAsia="it-IT"/>
        </w:rPr>
        <w:t xml:space="preserve">“ragioni del dissenso” </w:t>
      </w:r>
      <w:r w:rsidRPr="003100D6">
        <w:rPr>
          <w:rFonts w:ascii="Verdana" w:eastAsia="Times New Roman" w:hAnsi="Verdana" w:cs="Times New Roman"/>
          <w:color w:val="333333"/>
          <w:sz w:val="28"/>
          <w:szCs w:val="28"/>
          <w:lang w:eastAsia="it-IT"/>
        </w:rPr>
        <w:t xml:space="preserve">rispetto alla richiesta di archiviazione. </w:t>
      </w:r>
    </w:p>
    <w:p w:rsidR="003100D6" w:rsidRPr="003100D6" w:rsidRDefault="003100D6" w:rsidP="003100D6">
      <w:pPr>
        <w:shd w:val="clear" w:color="auto" w:fill="F5F5F5"/>
        <w:spacing w:before="100" w:beforeAutospacing="1" w:after="225" w:line="240" w:lineRule="auto"/>
        <w:ind w:firstLine="0"/>
        <w:rPr>
          <w:rFonts w:ascii="Verdana" w:eastAsia="Times New Roman" w:hAnsi="Verdana" w:cs="Times New Roman"/>
          <w:color w:val="333333"/>
          <w:sz w:val="28"/>
          <w:szCs w:val="28"/>
          <w:lang w:eastAsia="it-IT"/>
        </w:rPr>
      </w:pPr>
      <w:r w:rsidRPr="003100D6">
        <w:rPr>
          <w:rFonts w:ascii="Verdana" w:eastAsia="Times New Roman" w:hAnsi="Verdana" w:cs="Times New Roman"/>
          <w:color w:val="333333"/>
          <w:sz w:val="28"/>
          <w:szCs w:val="28"/>
          <w:lang w:eastAsia="it-IT"/>
        </w:rPr>
        <w:t xml:space="preserve">Il giudice a questo punto, se valuta positivamente l’ammissibilità dell’opposizione, dopo aver sentito le parti, può accogliere la richiesta provvedendo con ordinanza (e restituendo gli atti al pm per il compimento di indagini ulteriori), oppure, ove la consideri inammissibile, o non ci sia opposizione, procede con decreto motivato alla richiesta di archiviazione del pm. </w:t>
      </w:r>
    </w:p>
    <w:p w:rsidR="003100D6" w:rsidRPr="003100D6" w:rsidRDefault="003100D6" w:rsidP="003100D6">
      <w:pPr>
        <w:shd w:val="clear" w:color="auto" w:fill="F5F5F5"/>
        <w:spacing w:before="100" w:beforeAutospacing="1" w:after="225" w:line="240" w:lineRule="auto"/>
        <w:ind w:firstLine="0"/>
        <w:rPr>
          <w:rFonts w:ascii="Verdana" w:eastAsia="Times New Roman" w:hAnsi="Verdana" w:cs="Times New Roman"/>
          <w:color w:val="333333"/>
          <w:sz w:val="28"/>
          <w:szCs w:val="28"/>
          <w:lang w:eastAsia="it-IT"/>
        </w:rPr>
      </w:pPr>
      <w:r w:rsidRPr="003100D6">
        <w:rPr>
          <w:rFonts w:ascii="Verdana" w:eastAsia="Times New Roman" w:hAnsi="Verdana" w:cs="Times New Roman"/>
          <w:color w:val="333333"/>
          <w:sz w:val="28"/>
          <w:szCs w:val="28"/>
          <w:lang w:eastAsia="it-IT"/>
        </w:rPr>
        <w:t xml:space="preserve">La non punibilità per particolare tenuità del fatto, per effetto del disposto del nuovo comma 1-bis dell’art. 469 </w:t>
      </w:r>
      <w:proofErr w:type="spellStart"/>
      <w:r w:rsidRPr="003100D6">
        <w:rPr>
          <w:rFonts w:ascii="Verdana" w:eastAsia="Times New Roman" w:hAnsi="Verdana" w:cs="Times New Roman"/>
          <w:color w:val="333333"/>
          <w:sz w:val="28"/>
          <w:szCs w:val="28"/>
          <w:lang w:eastAsia="it-IT"/>
        </w:rPr>
        <w:t>c.p.p.</w:t>
      </w:r>
      <w:proofErr w:type="spellEnd"/>
      <w:r w:rsidRPr="003100D6">
        <w:rPr>
          <w:rFonts w:ascii="Verdana" w:eastAsia="Times New Roman" w:hAnsi="Verdana" w:cs="Times New Roman"/>
          <w:color w:val="333333"/>
          <w:sz w:val="28"/>
          <w:szCs w:val="28"/>
          <w:lang w:eastAsia="it-IT"/>
        </w:rPr>
        <w:t xml:space="preserve">, viene aggiunta anche alle altre cause che possono dar luogo ad una sentenza di non luogo a procedere (ovvero, ex art. 469, quando l’azione penale non doveva essere iniziata o non deve essere proseguita, quando il reato è estinto e per accertarlo non è necessario procedere al dibattimento). </w:t>
      </w:r>
    </w:p>
    <w:p w:rsidR="003100D6" w:rsidRPr="003100D6" w:rsidRDefault="003100D6" w:rsidP="003100D6">
      <w:pPr>
        <w:shd w:val="clear" w:color="auto" w:fill="F5F5F5"/>
        <w:spacing w:before="100" w:beforeAutospacing="1" w:after="225" w:line="240" w:lineRule="auto"/>
        <w:ind w:firstLine="0"/>
        <w:rPr>
          <w:rFonts w:ascii="Verdana" w:eastAsia="Times New Roman" w:hAnsi="Verdana" w:cs="Times New Roman"/>
          <w:color w:val="333333"/>
          <w:sz w:val="28"/>
          <w:szCs w:val="28"/>
          <w:lang w:eastAsia="it-IT"/>
        </w:rPr>
      </w:pPr>
      <w:r w:rsidRPr="003100D6">
        <w:rPr>
          <w:rFonts w:ascii="Verdana" w:eastAsia="Times New Roman" w:hAnsi="Verdana" w:cs="Times New Roman"/>
          <w:color w:val="333333"/>
          <w:sz w:val="28"/>
          <w:szCs w:val="28"/>
          <w:lang w:eastAsia="it-IT"/>
        </w:rPr>
        <w:t xml:space="preserve">Il giudice può pronunciare, quindi, </w:t>
      </w:r>
      <w:r w:rsidRPr="003100D6">
        <w:rPr>
          <w:rFonts w:ascii="Verdana" w:eastAsia="Times New Roman" w:hAnsi="Verdana" w:cs="Times New Roman"/>
          <w:b/>
          <w:bCs/>
          <w:color w:val="333333"/>
          <w:sz w:val="28"/>
          <w:szCs w:val="28"/>
          <w:lang w:eastAsia="it-IT"/>
        </w:rPr>
        <w:t xml:space="preserve">sentenza di proscioglimento dell’imputato </w:t>
      </w:r>
      <w:r w:rsidRPr="003100D6">
        <w:rPr>
          <w:rFonts w:ascii="Verdana" w:eastAsia="Times New Roman" w:hAnsi="Verdana" w:cs="Times New Roman"/>
          <w:color w:val="333333"/>
          <w:sz w:val="28"/>
          <w:szCs w:val="28"/>
          <w:lang w:eastAsia="it-IT"/>
        </w:rPr>
        <w:t xml:space="preserve">non punibile ex art. 131-bis c.p., previa audizione in camera di consiglio anche della persona offesa, se compare. </w:t>
      </w:r>
    </w:p>
    <w:p w:rsidR="003100D6" w:rsidRPr="003100D6" w:rsidRDefault="003100D6" w:rsidP="003100D6">
      <w:pPr>
        <w:shd w:val="clear" w:color="auto" w:fill="F5F5F5"/>
        <w:spacing w:before="100" w:beforeAutospacing="1" w:after="100" w:afterAutospacing="1" w:line="240" w:lineRule="auto"/>
        <w:ind w:firstLine="0"/>
        <w:outlineLvl w:val="1"/>
        <w:rPr>
          <w:rFonts w:ascii="Verdana" w:eastAsia="Times New Roman" w:hAnsi="Verdana" w:cs="Times New Roman"/>
          <w:b/>
          <w:bCs/>
          <w:color w:val="333333"/>
          <w:sz w:val="36"/>
          <w:szCs w:val="36"/>
          <w:lang w:eastAsia="it-IT"/>
        </w:rPr>
      </w:pPr>
      <w:r w:rsidRPr="003100D6">
        <w:rPr>
          <w:rFonts w:ascii="Verdana" w:eastAsia="Times New Roman" w:hAnsi="Verdana" w:cs="Times New Roman"/>
          <w:b/>
          <w:bCs/>
          <w:color w:val="333333"/>
          <w:sz w:val="36"/>
          <w:szCs w:val="36"/>
          <w:lang w:eastAsia="it-IT"/>
        </w:rPr>
        <w:t>Iscrizione nel casellario giudiziale</w:t>
      </w:r>
    </w:p>
    <w:p w:rsidR="003100D6" w:rsidRPr="003100D6" w:rsidRDefault="003100D6" w:rsidP="003100D6">
      <w:pPr>
        <w:shd w:val="clear" w:color="auto" w:fill="F5F5F5"/>
        <w:spacing w:before="100" w:beforeAutospacing="1" w:after="225" w:line="240" w:lineRule="auto"/>
        <w:ind w:firstLine="0"/>
        <w:rPr>
          <w:rFonts w:ascii="Verdana" w:eastAsia="Times New Roman" w:hAnsi="Verdana" w:cs="Times New Roman"/>
          <w:color w:val="333333"/>
          <w:sz w:val="28"/>
          <w:szCs w:val="28"/>
          <w:lang w:eastAsia="it-IT"/>
        </w:rPr>
      </w:pPr>
      <w:r w:rsidRPr="003100D6">
        <w:rPr>
          <w:rFonts w:ascii="Verdana" w:eastAsia="Times New Roman" w:hAnsi="Verdana" w:cs="Times New Roman"/>
          <w:color w:val="333333"/>
          <w:sz w:val="28"/>
          <w:szCs w:val="28"/>
          <w:lang w:eastAsia="it-IT"/>
        </w:rPr>
        <w:t xml:space="preserve">L’esclusione dalla punibilità del reato non consiste in un intervento di depenalizzazione, bensì nell’accertamento in via definitiva della commissione dell’illiceità da parte dell’indagato/imputato dichiarato, però, non punibile per particolare tenuità del fatto. </w:t>
      </w:r>
    </w:p>
    <w:p w:rsidR="003100D6" w:rsidRPr="003100D6" w:rsidRDefault="003100D6" w:rsidP="003100D6">
      <w:pPr>
        <w:shd w:val="clear" w:color="auto" w:fill="F5F5F5"/>
        <w:spacing w:before="100" w:beforeAutospacing="1" w:after="225" w:line="240" w:lineRule="auto"/>
        <w:ind w:firstLine="0"/>
        <w:rPr>
          <w:rFonts w:ascii="Verdana" w:eastAsia="Times New Roman" w:hAnsi="Verdana" w:cs="Times New Roman"/>
          <w:color w:val="333333"/>
          <w:sz w:val="28"/>
          <w:szCs w:val="28"/>
          <w:lang w:eastAsia="it-IT"/>
        </w:rPr>
      </w:pPr>
      <w:r w:rsidRPr="003100D6">
        <w:rPr>
          <w:rFonts w:ascii="Verdana" w:eastAsia="Times New Roman" w:hAnsi="Verdana" w:cs="Times New Roman"/>
          <w:color w:val="333333"/>
          <w:sz w:val="28"/>
          <w:szCs w:val="28"/>
          <w:lang w:eastAsia="it-IT"/>
        </w:rPr>
        <w:t xml:space="preserve">Pertanto, sia </w:t>
      </w:r>
      <w:r w:rsidRPr="003100D6">
        <w:rPr>
          <w:rFonts w:ascii="Verdana" w:eastAsia="Times New Roman" w:hAnsi="Verdana" w:cs="Times New Roman"/>
          <w:b/>
          <w:bCs/>
          <w:color w:val="333333"/>
          <w:sz w:val="28"/>
          <w:szCs w:val="28"/>
          <w:lang w:eastAsia="it-IT"/>
        </w:rPr>
        <w:t>l’archiviazione che il proscioglimento</w:t>
      </w:r>
      <w:r w:rsidRPr="003100D6">
        <w:rPr>
          <w:rFonts w:ascii="Verdana" w:eastAsia="Times New Roman" w:hAnsi="Verdana" w:cs="Times New Roman"/>
          <w:color w:val="333333"/>
          <w:sz w:val="28"/>
          <w:szCs w:val="28"/>
          <w:lang w:eastAsia="it-IT"/>
        </w:rPr>
        <w:t xml:space="preserve"> produrranno quale conseguenza per il soggetto agente l’inserimento nel </w:t>
      </w:r>
      <w:r w:rsidRPr="003100D6">
        <w:rPr>
          <w:rFonts w:ascii="Verdana" w:eastAsia="Times New Roman" w:hAnsi="Verdana" w:cs="Times New Roman"/>
          <w:b/>
          <w:bCs/>
          <w:color w:val="333333"/>
          <w:sz w:val="28"/>
          <w:szCs w:val="28"/>
          <w:lang w:eastAsia="it-IT"/>
        </w:rPr>
        <w:t xml:space="preserve">casellario giudiziario </w:t>
      </w:r>
      <w:r w:rsidRPr="003100D6">
        <w:rPr>
          <w:rFonts w:ascii="Verdana" w:eastAsia="Times New Roman" w:hAnsi="Verdana" w:cs="Times New Roman"/>
          <w:color w:val="333333"/>
          <w:sz w:val="28"/>
          <w:szCs w:val="28"/>
          <w:lang w:eastAsia="it-IT"/>
        </w:rPr>
        <w:t xml:space="preserve">dei relativi provvedimenti, rimanendovi per il </w:t>
      </w:r>
      <w:r w:rsidRPr="003100D6">
        <w:rPr>
          <w:rFonts w:ascii="Verdana" w:eastAsia="Times New Roman" w:hAnsi="Verdana" w:cs="Times New Roman"/>
          <w:b/>
          <w:bCs/>
          <w:color w:val="333333"/>
          <w:sz w:val="28"/>
          <w:szCs w:val="28"/>
          <w:lang w:eastAsia="it-IT"/>
        </w:rPr>
        <w:t xml:space="preserve">periodo di 10 anni. </w:t>
      </w:r>
    </w:p>
    <w:p w:rsidR="003100D6" w:rsidRPr="003100D6" w:rsidRDefault="003100D6" w:rsidP="003100D6">
      <w:pPr>
        <w:shd w:val="clear" w:color="auto" w:fill="F5F5F5"/>
        <w:spacing w:before="100" w:beforeAutospacing="1" w:after="225" w:line="240" w:lineRule="auto"/>
        <w:ind w:firstLine="0"/>
        <w:rPr>
          <w:rFonts w:ascii="Verdana" w:eastAsia="Times New Roman" w:hAnsi="Verdana" w:cs="Times New Roman"/>
          <w:color w:val="333333"/>
          <w:sz w:val="28"/>
          <w:szCs w:val="28"/>
          <w:lang w:eastAsia="it-IT"/>
        </w:rPr>
      </w:pPr>
      <w:r w:rsidRPr="003100D6">
        <w:rPr>
          <w:rFonts w:ascii="Verdana" w:eastAsia="Times New Roman" w:hAnsi="Verdana" w:cs="Times New Roman"/>
          <w:color w:val="333333"/>
          <w:sz w:val="28"/>
          <w:szCs w:val="28"/>
          <w:lang w:eastAsia="it-IT"/>
        </w:rPr>
        <w:t xml:space="preserve">La misura risponde alla </w:t>
      </w:r>
      <w:proofErr w:type="spellStart"/>
      <w:r w:rsidRPr="003100D6">
        <w:rPr>
          <w:rFonts w:ascii="Verdana" w:eastAsia="Times New Roman" w:hAnsi="Verdana" w:cs="Times New Roman"/>
          <w:i/>
          <w:iCs/>
          <w:color w:val="333333"/>
          <w:sz w:val="28"/>
          <w:szCs w:val="28"/>
          <w:lang w:eastAsia="it-IT"/>
        </w:rPr>
        <w:t>ratio</w:t>
      </w:r>
      <w:proofErr w:type="spellEnd"/>
      <w:r w:rsidRPr="003100D6">
        <w:rPr>
          <w:rFonts w:ascii="Verdana" w:eastAsia="Times New Roman" w:hAnsi="Verdana" w:cs="Times New Roman"/>
          <w:color w:val="333333"/>
          <w:sz w:val="28"/>
          <w:szCs w:val="28"/>
          <w:lang w:eastAsia="it-IT"/>
        </w:rPr>
        <w:t xml:space="preserve"> di far conoscere al giudice la “storia giudiziaria” del soggetto, evitando così che lo stesso possa fruire altre volte della non punibilità del fatto. </w:t>
      </w:r>
    </w:p>
    <w:p w:rsidR="003100D6" w:rsidRPr="003100D6" w:rsidRDefault="003100D6" w:rsidP="003100D6">
      <w:pPr>
        <w:shd w:val="clear" w:color="auto" w:fill="F5F5F5"/>
        <w:spacing w:before="100" w:beforeAutospacing="1" w:after="225" w:line="240" w:lineRule="auto"/>
        <w:ind w:firstLine="0"/>
        <w:rPr>
          <w:rFonts w:ascii="Verdana" w:eastAsia="Times New Roman" w:hAnsi="Verdana" w:cs="Times New Roman"/>
          <w:color w:val="333333"/>
          <w:sz w:val="28"/>
          <w:szCs w:val="28"/>
          <w:lang w:eastAsia="it-IT"/>
        </w:rPr>
      </w:pPr>
      <w:r w:rsidRPr="003100D6">
        <w:rPr>
          <w:rFonts w:ascii="Verdana" w:eastAsia="Times New Roman" w:hAnsi="Verdana" w:cs="Times New Roman"/>
          <w:color w:val="333333"/>
          <w:sz w:val="28"/>
          <w:szCs w:val="28"/>
          <w:lang w:eastAsia="it-IT"/>
        </w:rPr>
        <w:t xml:space="preserve">Allo scadere del termine decennale, l’iscrizione deve essere cancellata. </w:t>
      </w:r>
    </w:p>
    <w:p w:rsidR="003100D6" w:rsidRPr="003100D6" w:rsidRDefault="003100D6" w:rsidP="003100D6">
      <w:pPr>
        <w:shd w:val="clear" w:color="auto" w:fill="F5F5F5"/>
        <w:spacing w:before="100" w:beforeAutospacing="1" w:after="100" w:afterAutospacing="1" w:line="240" w:lineRule="auto"/>
        <w:ind w:firstLine="0"/>
        <w:outlineLvl w:val="1"/>
        <w:rPr>
          <w:rFonts w:ascii="Verdana" w:eastAsia="Times New Roman" w:hAnsi="Verdana" w:cs="Times New Roman"/>
          <w:b/>
          <w:bCs/>
          <w:color w:val="333333"/>
          <w:sz w:val="36"/>
          <w:szCs w:val="36"/>
          <w:lang w:eastAsia="it-IT"/>
        </w:rPr>
      </w:pPr>
      <w:r w:rsidRPr="003100D6">
        <w:rPr>
          <w:rFonts w:ascii="Verdana" w:eastAsia="Times New Roman" w:hAnsi="Verdana" w:cs="Times New Roman"/>
          <w:b/>
          <w:bCs/>
          <w:color w:val="333333"/>
          <w:sz w:val="36"/>
          <w:szCs w:val="36"/>
          <w:lang w:eastAsia="it-IT"/>
        </w:rPr>
        <w:lastRenderedPageBreak/>
        <w:t>L’efficacia nei procedimenti civili e amministrativi</w:t>
      </w:r>
    </w:p>
    <w:p w:rsidR="003100D6" w:rsidRPr="003100D6" w:rsidRDefault="003100D6" w:rsidP="003100D6">
      <w:pPr>
        <w:shd w:val="clear" w:color="auto" w:fill="F5F5F5"/>
        <w:spacing w:before="100" w:beforeAutospacing="1" w:after="225" w:line="240" w:lineRule="auto"/>
        <w:ind w:firstLine="0"/>
        <w:rPr>
          <w:rFonts w:ascii="Verdana" w:eastAsia="Times New Roman" w:hAnsi="Verdana" w:cs="Times New Roman"/>
          <w:color w:val="333333"/>
          <w:sz w:val="28"/>
          <w:szCs w:val="28"/>
          <w:lang w:eastAsia="it-IT"/>
        </w:rPr>
      </w:pPr>
      <w:r w:rsidRPr="003100D6">
        <w:rPr>
          <w:rFonts w:ascii="Verdana" w:eastAsia="Times New Roman" w:hAnsi="Verdana" w:cs="Times New Roman"/>
          <w:color w:val="333333"/>
          <w:sz w:val="28"/>
          <w:szCs w:val="28"/>
          <w:lang w:eastAsia="it-IT"/>
        </w:rPr>
        <w:t xml:space="preserve">Una delle conseguenze dell’applicazione dell’istituto della tenuità del fatto concerne gli effetti della stessa nei procedimenti civili ed amministrativi. </w:t>
      </w:r>
    </w:p>
    <w:p w:rsidR="003100D6" w:rsidRPr="003100D6" w:rsidRDefault="003100D6" w:rsidP="003100D6">
      <w:pPr>
        <w:shd w:val="clear" w:color="auto" w:fill="F5F5F5"/>
        <w:spacing w:before="100" w:beforeAutospacing="1" w:after="225" w:line="240" w:lineRule="auto"/>
        <w:ind w:firstLine="0"/>
        <w:rPr>
          <w:rFonts w:ascii="Verdana" w:eastAsia="Times New Roman" w:hAnsi="Verdana" w:cs="Times New Roman"/>
          <w:color w:val="333333"/>
          <w:sz w:val="28"/>
          <w:szCs w:val="28"/>
          <w:lang w:eastAsia="it-IT"/>
        </w:rPr>
      </w:pPr>
      <w:r w:rsidRPr="003100D6">
        <w:rPr>
          <w:rFonts w:ascii="Verdana" w:eastAsia="Times New Roman" w:hAnsi="Verdana" w:cs="Times New Roman"/>
          <w:color w:val="333333"/>
          <w:sz w:val="28"/>
          <w:szCs w:val="28"/>
          <w:lang w:eastAsia="it-IT"/>
        </w:rPr>
        <w:t xml:space="preserve">Secondo quanto espressamente previsto dal nuovo </w:t>
      </w:r>
      <w:r w:rsidRPr="003100D6">
        <w:rPr>
          <w:rFonts w:ascii="Verdana" w:eastAsia="Times New Roman" w:hAnsi="Verdana" w:cs="Times New Roman"/>
          <w:b/>
          <w:bCs/>
          <w:color w:val="333333"/>
          <w:sz w:val="28"/>
          <w:szCs w:val="28"/>
          <w:lang w:eastAsia="it-IT"/>
        </w:rPr>
        <w:t xml:space="preserve">art. 651-bis c.p., </w:t>
      </w:r>
      <w:r w:rsidRPr="003100D6">
        <w:rPr>
          <w:rFonts w:ascii="Verdana" w:eastAsia="Times New Roman" w:hAnsi="Verdana" w:cs="Times New Roman"/>
          <w:color w:val="333333"/>
          <w:sz w:val="28"/>
          <w:szCs w:val="28"/>
          <w:lang w:eastAsia="it-IT"/>
        </w:rPr>
        <w:t xml:space="preserve">inserito dall’art., comma 1, lett. b) del d.lgs. n. 28/2015, la sentenza penale irrevocabile di proscioglimento pronunciata a seguito di particolare tenuità del fatto, in seguito al dibattimento, ha </w:t>
      </w:r>
      <w:r w:rsidRPr="003100D6">
        <w:rPr>
          <w:rFonts w:ascii="Verdana" w:eastAsia="Times New Roman" w:hAnsi="Verdana" w:cs="Times New Roman"/>
          <w:b/>
          <w:bCs/>
          <w:color w:val="333333"/>
          <w:sz w:val="28"/>
          <w:szCs w:val="28"/>
          <w:lang w:eastAsia="it-IT"/>
        </w:rPr>
        <w:t>efficacia di giudicato</w:t>
      </w:r>
      <w:r w:rsidRPr="003100D6">
        <w:rPr>
          <w:rFonts w:ascii="Verdana" w:eastAsia="Times New Roman" w:hAnsi="Verdana" w:cs="Times New Roman"/>
          <w:color w:val="333333"/>
          <w:sz w:val="28"/>
          <w:szCs w:val="28"/>
          <w:lang w:eastAsia="it-IT"/>
        </w:rPr>
        <w:t xml:space="preserve">, sia con riferimento all’accertamento della sussistenza del fatto che all’illiceità penale dello stesso e all’affermazione che l’imputato lo ha commesso, </w:t>
      </w:r>
      <w:r w:rsidRPr="003100D6">
        <w:rPr>
          <w:rFonts w:ascii="Verdana" w:eastAsia="Times New Roman" w:hAnsi="Verdana" w:cs="Times New Roman"/>
          <w:b/>
          <w:bCs/>
          <w:color w:val="333333"/>
          <w:sz w:val="28"/>
          <w:szCs w:val="28"/>
          <w:lang w:eastAsia="it-IT"/>
        </w:rPr>
        <w:t>nei giudizi civili e amministrativi</w:t>
      </w:r>
      <w:r w:rsidRPr="003100D6">
        <w:rPr>
          <w:rFonts w:ascii="Verdana" w:eastAsia="Times New Roman" w:hAnsi="Verdana" w:cs="Times New Roman"/>
          <w:color w:val="333333"/>
          <w:sz w:val="28"/>
          <w:szCs w:val="28"/>
          <w:lang w:eastAsia="it-IT"/>
        </w:rPr>
        <w:t xml:space="preserve"> avviati nei confronti del condannato (e del responsabile civile citato o intervenuto nel processo penale) </w:t>
      </w:r>
      <w:r w:rsidRPr="003100D6">
        <w:rPr>
          <w:rFonts w:ascii="Verdana" w:eastAsia="Times New Roman" w:hAnsi="Verdana" w:cs="Times New Roman"/>
          <w:b/>
          <w:bCs/>
          <w:color w:val="333333"/>
          <w:sz w:val="28"/>
          <w:szCs w:val="28"/>
          <w:lang w:eastAsia="it-IT"/>
        </w:rPr>
        <w:t xml:space="preserve">per le restituzioni e il risarcimento dei danni. </w:t>
      </w:r>
    </w:p>
    <w:p w:rsidR="003100D6" w:rsidRPr="003100D6" w:rsidRDefault="003100D6" w:rsidP="003100D6">
      <w:pPr>
        <w:shd w:val="clear" w:color="auto" w:fill="F5F5F5"/>
        <w:spacing w:before="100" w:beforeAutospacing="1" w:after="225" w:line="240" w:lineRule="auto"/>
        <w:ind w:firstLine="0"/>
        <w:rPr>
          <w:rFonts w:ascii="Verdana" w:eastAsia="Times New Roman" w:hAnsi="Verdana" w:cs="Times New Roman"/>
          <w:color w:val="333333"/>
          <w:sz w:val="28"/>
          <w:szCs w:val="28"/>
          <w:lang w:eastAsia="it-IT"/>
        </w:rPr>
      </w:pPr>
      <w:r w:rsidRPr="003100D6">
        <w:rPr>
          <w:rFonts w:ascii="Verdana" w:eastAsia="Times New Roman" w:hAnsi="Verdana" w:cs="Times New Roman"/>
          <w:color w:val="333333"/>
          <w:sz w:val="28"/>
          <w:szCs w:val="28"/>
          <w:lang w:eastAsia="it-IT"/>
        </w:rPr>
        <w:t xml:space="preserve">Ciò significa che il danneggiato potrà utilizzare la sentenza di proscioglimento quale prova definitiva della colpevolezza dell’imputato, pur dichiarato non punibile ex art. 131-bis, per chiedere allo stesso o al responsabile civile il risarcimento dei danni nel relativo giudizio (civile o amministrativo). </w:t>
      </w:r>
    </w:p>
    <w:p w:rsidR="003100D6" w:rsidRPr="003100D6" w:rsidRDefault="003100D6" w:rsidP="003100D6">
      <w:pPr>
        <w:shd w:val="clear" w:color="auto" w:fill="F5F5F5"/>
        <w:spacing w:before="100" w:beforeAutospacing="1" w:after="225" w:line="240" w:lineRule="auto"/>
        <w:ind w:firstLine="0"/>
        <w:rPr>
          <w:rFonts w:ascii="Verdana" w:eastAsia="Times New Roman" w:hAnsi="Verdana" w:cs="Times New Roman"/>
          <w:color w:val="333333"/>
          <w:sz w:val="28"/>
          <w:szCs w:val="28"/>
          <w:lang w:eastAsia="it-IT"/>
        </w:rPr>
      </w:pPr>
      <w:r w:rsidRPr="003100D6">
        <w:rPr>
          <w:rFonts w:ascii="Verdana" w:eastAsia="Times New Roman" w:hAnsi="Verdana" w:cs="Times New Roman"/>
          <w:color w:val="333333"/>
          <w:sz w:val="28"/>
          <w:szCs w:val="28"/>
          <w:lang w:eastAsia="it-IT"/>
        </w:rPr>
        <w:t xml:space="preserve">Analoga efficacia ha la sentenza irrevocabile di proscioglimento pronunciata per particola tenuità del fatto </w:t>
      </w:r>
      <w:r w:rsidRPr="003100D6">
        <w:rPr>
          <w:rFonts w:ascii="Verdana" w:eastAsia="Times New Roman" w:hAnsi="Verdana" w:cs="Times New Roman"/>
          <w:b/>
          <w:bCs/>
          <w:color w:val="333333"/>
          <w:sz w:val="28"/>
          <w:szCs w:val="28"/>
          <w:lang w:eastAsia="it-IT"/>
        </w:rPr>
        <w:t xml:space="preserve">ex art. 442 </w:t>
      </w:r>
      <w:proofErr w:type="spellStart"/>
      <w:r w:rsidRPr="003100D6">
        <w:rPr>
          <w:rFonts w:ascii="Verdana" w:eastAsia="Times New Roman" w:hAnsi="Verdana" w:cs="Times New Roman"/>
          <w:b/>
          <w:bCs/>
          <w:color w:val="333333"/>
          <w:sz w:val="28"/>
          <w:szCs w:val="28"/>
          <w:lang w:eastAsia="it-IT"/>
        </w:rPr>
        <w:t>c.p.p.</w:t>
      </w:r>
      <w:proofErr w:type="spellEnd"/>
      <w:r w:rsidRPr="003100D6">
        <w:rPr>
          <w:rFonts w:ascii="Verdana" w:eastAsia="Times New Roman" w:hAnsi="Verdana" w:cs="Times New Roman"/>
          <w:b/>
          <w:bCs/>
          <w:color w:val="333333"/>
          <w:sz w:val="28"/>
          <w:szCs w:val="28"/>
          <w:lang w:eastAsia="it-IT"/>
        </w:rPr>
        <w:t>,</w:t>
      </w:r>
      <w:r w:rsidRPr="003100D6">
        <w:rPr>
          <w:rFonts w:ascii="Verdana" w:eastAsia="Times New Roman" w:hAnsi="Verdana" w:cs="Times New Roman"/>
          <w:color w:val="333333"/>
          <w:sz w:val="28"/>
          <w:szCs w:val="28"/>
          <w:lang w:eastAsia="it-IT"/>
        </w:rPr>
        <w:t xml:space="preserve"> salvo che la parte civile si opponga o non accetti il rito abbreviato. </w:t>
      </w:r>
    </w:p>
    <w:p w:rsidR="00891F19" w:rsidRDefault="00891F19"/>
    <w:sectPr w:rsidR="00891F19" w:rsidSect="00891F1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100D6"/>
    <w:rsid w:val="0002716D"/>
    <w:rsid w:val="00045C8A"/>
    <w:rsid w:val="00132423"/>
    <w:rsid w:val="0014518B"/>
    <w:rsid w:val="001B1F3B"/>
    <w:rsid w:val="002C35E5"/>
    <w:rsid w:val="002E0ECC"/>
    <w:rsid w:val="003100D6"/>
    <w:rsid w:val="003C6A41"/>
    <w:rsid w:val="004066A7"/>
    <w:rsid w:val="006F0058"/>
    <w:rsid w:val="0088466A"/>
    <w:rsid w:val="00890EFE"/>
    <w:rsid w:val="00891F19"/>
    <w:rsid w:val="00A62986"/>
    <w:rsid w:val="00AA65D4"/>
    <w:rsid w:val="00AF5F03"/>
    <w:rsid w:val="00C208EE"/>
    <w:rsid w:val="00ED3796"/>
    <w:rsid w:val="00FE7A8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1F19"/>
  </w:style>
  <w:style w:type="paragraph" w:styleId="Titolo2">
    <w:name w:val="heading 2"/>
    <w:basedOn w:val="Normale"/>
    <w:link w:val="Titolo2Carattere"/>
    <w:uiPriority w:val="9"/>
    <w:qFormat/>
    <w:rsid w:val="003100D6"/>
    <w:pPr>
      <w:spacing w:before="100" w:beforeAutospacing="1" w:after="100" w:afterAutospacing="1" w:line="240" w:lineRule="auto"/>
      <w:ind w:firstLine="0"/>
      <w:jc w:val="left"/>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100D6"/>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3100D6"/>
    <w:rPr>
      <w:color w:val="2E697A"/>
      <w:u w:val="single"/>
    </w:rPr>
  </w:style>
  <w:style w:type="character" w:styleId="Enfasigrassetto">
    <w:name w:val="Strong"/>
    <w:basedOn w:val="Carpredefinitoparagrafo"/>
    <w:uiPriority w:val="22"/>
    <w:qFormat/>
    <w:rsid w:val="003100D6"/>
    <w:rPr>
      <w:b/>
      <w:bCs/>
    </w:rPr>
  </w:style>
</w:styles>
</file>

<file path=word/webSettings.xml><?xml version="1.0" encoding="utf-8"?>
<w:webSettings xmlns:r="http://schemas.openxmlformats.org/officeDocument/2006/relationships" xmlns:w="http://schemas.openxmlformats.org/wordprocessingml/2006/main">
  <w:divs>
    <w:div w:id="153574885">
      <w:bodyDiv w:val="1"/>
      <w:marLeft w:val="0"/>
      <w:marRight w:val="0"/>
      <w:marTop w:val="0"/>
      <w:marBottom w:val="0"/>
      <w:divBdr>
        <w:top w:val="none" w:sz="0" w:space="0" w:color="auto"/>
        <w:left w:val="none" w:sz="0" w:space="0" w:color="auto"/>
        <w:bottom w:val="none" w:sz="0" w:space="0" w:color="auto"/>
        <w:right w:val="none" w:sz="0" w:space="0" w:color="auto"/>
      </w:divBdr>
      <w:divsChild>
        <w:div w:id="1627272669">
          <w:marLeft w:val="0"/>
          <w:marRight w:val="0"/>
          <w:marTop w:val="15"/>
          <w:marBottom w:val="0"/>
          <w:divBdr>
            <w:top w:val="none" w:sz="0" w:space="0" w:color="auto"/>
            <w:left w:val="none" w:sz="0" w:space="0" w:color="auto"/>
            <w:bottom w:val="none" w:sz="0" w:space="0" w:color="auto"/>
            <w:right w:val="none" w:sz="0" w:space="0" w:color="auto"/>
          </w:divBdr>
          <w:divsChild>
            <w:div w:id="140580758">
              <w:marLeft w:val="0"/>
              <w:marRight w:val="0"/>
              <w:marTop w:val="0"/>
              <w:marBottom w:val="0"/>
              <w:divBdr>
                <w:top w:val="none" w:sz="0" w:space="0" w:color="auto"/>
                <w:left w:val="none" w:sz="0" w:space="0" w:color="auto"/>
                <w:bottom w:val="none" w:sz="0" w:space="0" w:color="auto"/>
                <w:right w:val="none" w:sz="0" w:space="0" w:color="auto"/>
              </w:divBdr>
              <w:divsChild>
                <w:div w:id="227805829">
                  <w:marLeft w:val="0"/>
                  <w:marRight w:val="0"/>
                  <w:marTop w:val="0"/>
                  <w:marBottom w:val="0"/>
                  <w:divBdr>
                    <w:top w:val="none" w:sz="0" w:space="0" w:color="auto"/>
                    <w:left w:val="none" w:sz="0" w:space="0" w:color="auto"/>
                    <w:bottom w:val="none" w:sz="0" w:space="0" w:color="auto"/>
                    <w:right w:val="none" w:sz="0" w:space="0" w:color="auto"/>
                  </w:divBdr>
                  <w:divsChild>
                    <w:div w:id="227811154">
                      <w:marLeft w:val="0"/>
                      <w:marRight w:val="0"/>
                      <w:marTop w:val="100"/>
                      <w:marBottom w:val="100"/>
                      <w:divBdr>
                        <w:top w:val="none" w:sz="0" w:space="0" w:color="auto"/>
                        <w:left w:val="none" w:sz="0" w:space="0" w:color="auto"/>
                        <w:bottom w:val="none" w:sz="0" w:space="0" w:color="auto"/>
                        <w:right w:val="none" w:sz="0" w:space="0" w:color="auto"/>
                      </w:divBdr>
                      <w:divsChild>
                        <w:div w:id="1117329463">
                          <w:marLeft w:val="0"/>
                          <w:marRight w:val="0"/>
                          <w:marTop w:val="0"/>
                          <w:marBottom w:val="0"/>
                          <w:divBdr>
                            <w:top w:val="none" w:sz="0" w:space="0" w:color="auto"/>
                            <w:left w:val="none" w:sz="0" w:space="0" w:color="auto"/>
                            <w:bottom w:val="none" w:sz="0" w:space="0" w:color="auto"/>
                            <w:right w:val="none" w:sz="0" w:space="0" w:color="auto"/>
                          </w:divBdr>
                          <w:divsChild>
                            <w:div w:id="931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diocataldi.it/guide-diritto-penale/ingiuria.asp" TargetMode="External"/><Relationship Id="rId5" Type="http://schemas.openxmlformats.org/officeDocument/2006/relationships/hyperlink" Target="http://www.studiocataldi.it/guide-diritto-penale/oltraggio-a-pubblico-ufficiale.asp" TargetMode="External"/><Relationship Id="rId4" Type="http://schemas.openxmlformats.org/officeDocument/2006/relationships/hyperlink" Target="http://www.studiocataldi.it/codicepena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1110</Words>
  <Characters>6328</Characters>
  <Application>Microsoft Office Word</Application>
  <DocSecurity>0</DocSecurity>
  <Lines>52</Lines>
  <Paragraphs>14</Paragraphs>
  <ScaleCrop>false</ScaleCrop>
  <Company> </Company>
  <LinksUpToDate>false</LinksUpToDate>
  <CharactersWithSpaces>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Professional Sp2b Italiano</dc:creator>
  <cp:keywords/>
  <dc:description/>
  <cp:lastModifiedBy>Xp Professional Sp2b Italiano</cp:lastModifiedBy>
  <cp:revision>2</cp:revision>
  <dcterms:created xsi:type="dcterms:W3CDTF">2015-04-07T09:26:00Z</dcterms:created>
  <dcterms:modified xsi:type="dcterms:W3CDTF">2015-04-07T09:28:00Z</dcterms:modified>
</cp:coreProperties>
</file>